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line="360" w:lineRule="auto"/>
        <w:ind w:left="0" w:leftChars="0" w:firstLine="0" w:firstLineChars="0"/>
        <w:rPr>
          <w:rFonts w:hint="eastAsia" w:ascii="仿宋" w:hAnsi="仿宋" w:eastAsia="仿宋" w:cs="仿宋"/>
          <w:b/>
          <w:bCs/>
          <w:sz w:val="24"/>
          <w:szCs w:val="40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bCs/>
          <w:sz w:val="24"/>
          <w:szCs w:val="40"/>
          <w:highlight w:val="none"/>
          <w:lang w:val="en-US" w:eastAsia="zh-CN"/>
        </w:rPr>
        <w:t>公告附表——采购计划表：</w:t>
      </w:r>
    </w:p>
    <w:tbl>
      <w:tblPr>
        <w:tblStyle w:val="12"/>
        <w:tblW w:w="5407" w:type="pct"/>
        <w:tblInd w:w="-37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79"/>
        <w:gridCol w:w="2320"/>
        <w:gridCol w:w="1337"/>
        <w:gridCol w:w="537"/>
        <w:gridCol w:w="428"/>
        <w:gridCol w:w="812"/>
        <w:gridCol w:w="631"/>
        <w:gridCol w:w="587"/>
        <w:gridCol w:w="921"/>
        <w:gridCol w:w="603"/>
        <w:gridCol w:w="551"/>
        <w:gridCol w:w="53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名称</w:t>
            </w:r>
          </w:p>
        </w:tc>
        <w:tc>
          <w:tcPr>
            <w:tcW w:w="6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内容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单位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数量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最高限价（折扣率）</w:t>
            </w:r>
          </w:p>
        </w:tc>
        <w:tc>
          <w:tcPr>
            <w:tcW w:w="31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项目单位</w:t>
            </w:r>
          </w:p>
        </w:tc>
        <w:tc>
          <w:tcPr>
            <w:tcW w:w="292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采购方式</w:t>
            </w:r>
          </w:p>
        </w:tc>
        <w:tc>
          <w:tcPr>
            <w:tcW w:w="45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服务期</w:t>
            </w:r>
          </w:p>
        </w:tc>
        <w:tc>
          <w:tcPr>
            <w:tcW w:w="300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资金来源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nil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入围家数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包件1-1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达拉特供电公司食材供应商-粮油类</w:t>
            </w:r>
          </w:p>
        </w:tc>
        <w:tc>
          <w:tcPr>
            <w:tcW w:w="6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详见达拉特供电公司食材框架需求明细表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达拉特供电公司</w:t>
            </w:r>
          </w:p>
        </w:tc>
        <w:tc>
          <w:tcPr>
            <w:tcW w:w="29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4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2024年1月1日-2024年12月31日</w:t>
            </w:r>
          </w:p>
        </w:tc>
        <w:tc>
          <w:tcPr>
            <w:tcW w:w="30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福利费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包件1-2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达拉特供电公司食材供应商-肉类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包件1-3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达拉特供电公司食材供应商-副食类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包件2-1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鄂托克供电公司食材供应商-粮油类</w:t>
            </w:r>
          </w:p>
        </w:tc>
        <w:tc>
          <w:tcPr>
            <w:tcW w:w="6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详见鄂托克供电公司食材框架需求明细表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鄂托克供电公司</w:t>
            </w:r>
          </w:p>
        </w:tc>
        <w:tc>
          <w:tcPr>
            <w:tcW w:w="292" w:type="pct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4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2024年1月1日-2024年12月31日</w:t>
            </w:r>
          </w:p>
        </w:tc>
        <w:tc>
          <w:tcPr>
            <w:tcW w:w="30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福利费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包件2-2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鄂托克供电公司食材供应商-肉类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包件2-3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鄂托克供电公司食材供应商-副食类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包件3-1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鄂托克前旗供电公司食材供应商-粮油类</w:t>
            </w:r>
          </w:p>
        </w:tc>
        <w:tc>
          <w:tcPr>
            <w:tcW w:w="6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详见鄂托克前旗供电公司食材框架需求明细表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鄂托克前旗供电公司</w:t>
            </w:r>
          </w:p>
        </w:tc>
        <w:tc>
          <w:tcPr>
            <w:tcW w:w="292" w:type="pct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4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2024年1月1日-2024年12月31日</w:t>
            </w:r>
          </w:p>
        </w:tc>
        <w:tc>
          <w:tcPr>
            <w:tcW w:w="30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福利费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包件3-2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鄂托克前旗供电公司食材供应商-肉类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包件3-3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鄂托克前旗供电公司食材供应商-副食类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highlight w:val="none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highlight w:val="none"/>
                <w:u w:val="none"/>
                <w:lang w:val="en-US" w:eastAsia="zh-CN" w:bidi="ar"/>
              </w:rPr>
              <w:t>3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包件4-1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棋盘井供电公司食材供应商-粮油类</w:t>
            </w:r>
          </w:p>
        </w:tc>
        <w:tc>
          <w:tcPr>
            <w:tcW w:w="6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详见棋盘井供电公司食材框架需求明细表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棋盘井供电公司</w:t>
            </w:r>
          </w:p>
        </w:tc>
        <w:tc>
          <w:tcPr>
            <w:tcW w:w="292" w:type="pct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4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2024年1月1日-2024年12月31日</w:t>
            </w:r>
          </w:p>
        </w:tc>
        <w:tc>
          <w:tcPr>
            <w:tcW w:w="30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福利费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包件4-2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棋盘井供电公司食材供应商-肉类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包件4-3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棋盘井供电公司食材供应商-副食类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包件5-1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杭锦供电公司食材供应商-粮油类</w:t>
            </w:r>
          </w:p>
        </w:tc>
        <w:tc>
          <w:tcPr>
            <w:tcW w:w="6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详见杭锦供电公司食材框架需求明细表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杭锦供电公司</w:t>
            </w:r>
          </w:p>
        </w:tc>
        <w:tc>
          <w:tcPr>
            <w:tcW w:w="292" w:type="pct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4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2024年1月1日-2024年12月31日</w:t>
            </w:r>
          </w:p>
        </w:tc>
        <w:tc>
          <w:tcPr>
            <w:tcW w:w="30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福利费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包件5-2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杭锦供电公司食材供应商-肉类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包件5-3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杭锦供电公司食材供应商-副食类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包件6-1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乌审供电公司食材供应商-粮油类</w:t>
            </w:r>
          </w:p>
        </w:tc>
        <w:tc>
          <w:tcPr>
            <w:tcW w:w="6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详见乌审供电公司食材框架需求明细表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乌审供电公司</w:t>
            </w:r>
          </w:p>
        </w:tc>
        <w:tc>
          <w:tcPr>
            <w:tcW w:w="292" w:type="pct"/>
            <w:vMerge w:val="restart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4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2024年1月1日-2024年12月31日</w:t>
            </w:r>
          </w:p>
        </w:tc>
        <w:tc>
          <w:tcPr>
            <w:tcW w:w="30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福利费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包件6-2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乌审供电公司食材供应商-肉类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包件6-3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乌审供电公司食材供应商-副食类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包件7-1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伊金霍洛供电公司食材供应商-粮油类</w:t>
            </w:r>
          </w:p>
        </w:tc>
        <w:tc>
          <w:tcPr>
            <w:tcW w:w="6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详见伊金霍洛供电公司食材框架需求明细表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伊金霍洛供电公司</w:t>
            </w:r>
          </w:p>
        </w:tc>
        <w:tc>
          <w:tcPr>
            <w:tcW w:w="29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4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2024年1月1日-2024年12月31日</w:t>
            </w:r>
          </w:p>
        </w:tc>
        <w:tc>
          <w:tcPr>
            <w:tcW w:w="30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福利费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包件7-2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伊金霍洛供电公司食材供应商-肉类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包件7-3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伊金霍洛供电公司食材供应商-副食类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包件8-1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东胜供电公司食材供应商-粮油类</w:t>
            </w:r>
          </w:p>
        </w:tc>
        <w:tc>
          <w:tcPr>
            <w:tcW w:w="665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详见东胜供电公司食材框架需求明细表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东胜供电公司</w:t>
            </w:r>
          </w:p>
        </w:tc>
        <w:tc>
          <w:tcPr>
            <w:tcW w:w="292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询比采购</w:t>
            </w:r>
          </w:p>
        </w:tc>
        <w:tc>
          <w:tcPr>
            <w:tcW w:w="458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2024年1月1日-2024年12月31日</w:t>
            </w:r>
          </w:p>
        </w:tc>
        <w:tc>
          <w:tcPr>
            <w:tcW w:w="300" w:type="pct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福利费</w:t>
            </w: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包件8-2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东胜供电公司食材供应商-肉类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0" w:hRule="atLeast"/>
        </w:trPr>
        <w:tc>
          <w:tcPr>
            <w:tcW w:w="388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包件8-3</w:t>
            </w:r>
          </w:p>
        </w:tc>
        <w:tc>
          <w:tcPr>
            <w:tcW w:w="115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东胜供电公司食材供应商-副食类</w:t>
            </w:r>
          </w:p>
        </w:tc>
        <w:tc>
          <w:tcPr>
            <w:tcW w:w="665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213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40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98%</w:t>
            </w:r>
          </w:p>
        </w:tc>
        <w:tc>
          <w:tcPr>
            <w:tcW w:w="314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92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458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300" w:type="pct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  <w:tc>
          <w:tcPr>
            <w:tcW w:w="274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keepNext w:val="0"/>
              <w:keepLines w:val="0"/>
              <w:widowControl/>
              <w:suppressLineNumbers w:val="0"/>
              <w:spacing w:line="360" w:lineRule="auto"/>
              <w:ind w:firstLine="0" w:firstLineChars="0"/>
              <w:jc w:val="center"/>
              <w:textAlignment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仿宋" w:hAnsi="仿宋" w:eastAsia="仿宋" w:cs="仿宋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267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i w:val="0"/>
                <w:iCs w:val="0"/>
                <w:color w:val="000000"/>
                <w:sz w:val="20"/>
                <w:szCs w:val="20"/>
                <w:u w:val="none"/>
              </w:rPr>
            </w:pPr>
          </w:p>
        </w:tc>
      </w:tr>
    </w:tbl>
    <w:p>
      <w:pPr>
        <w:spacing w:line="360" w:lineRule="auto"/>
        <w:rPr>
          <w:rFonts w:hint="eastAsia" w:ascii="仿宋" w:hAnsi="仿宋" w:eastAsia="仿宋" w:cs="仿宋"/>
          <w:lang w:eastAsia="zh-CN"/>
        </w:rPr>
      </w:pPr>
    </w:p>
    <w:p>
      <w:pPr>
        <w:pStyle w:val="9"/>
        <w:spacing w:line="360" w:lineRule="auto"/>
        <w:rPr>
          <w:rFonts w:hint="eastAsia" w:ascii="仿宋" w:hAnsi="仿宋" w:eastAsia="仿宋" w:cs="仿宋"/>
          <w:lang w:eastAsia="zh-CN"/>
        </w:rPr>
        <w:sectPr>
          <w:headerReference r:id="rId3" w:type="default"/>
          <w:footerReference r:id="rId4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t>附件1：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》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内蒙古电力（集团）有限责任公司鄂尔多斯供电分公司物资供应处：</w:t>
      </w:r>
    </w:p>
    <w:p>
      <w:pPr>
        <w:spacing w:line="360" w:lineRule="auto"/>
        <w:ind w:firstLine="465" w:firstLineChars="0"/>
        <w:rPr>
          <w:rFonts w:hint="eastAsia" w:ascii="仿宋" w:hAnsi="仿宋" w:eastAsia="仿宋" w:cs="仿宋"/>
          <w:sz w:val="24"/>
          <w:lang w:val="en-US" w:eastAsia="zh-CN"/>
        </w:rPr>
      </w:pPr>
      <w:r>
        <w:rPr>
          <w:rFonts w:hint="eastAsia" w:ascii="仿宋" w:hAnsi="仿宋" w:eastAsia="仿宋" w:cs="仿宋"/>
          <w:sz w:val="24"/>
          <w:lang w:val="en-US" w:eastAsia="zh-CN"/>
        </w:rPr>
        <w:t>我公司参与贵公司组织采购的</w:t>
      </w:r>
      <w:r>
        <w:rPr>
          <w:rFonts w:hint="eastAsia" w:ascii="仿宋" w:hAnsi="仿宋" w:eastAsia="仿宋" w:cs="仿宋"/>
          <w:sz w:val="24"/>
          <w:u w:val="single"/>
          <w:lang w:val="en-US" w:eastAsia="zh-CN"/>
        </w:rPr>
        <w:t xml:space="preserve">                   </w:t>
      </w:r>
      <w:r>
        <w:rPr>
          <w:rFonts w:hint="eastAsia" w:ascii="仿宋" w:hAnsi="仿宋" w:eastAsia="仿宋" w:cs="仿宋"/>
          <w:sz w:val="24"/>
          <w:lang w:val="en-US" w:eastAsia="zh-CN"/>
        </w:rPr>
        <w:t>（</w:t>
      </w:r>
      <w:r>
        <w:rPr>
          <w:rFonts w:hint="eastAsia" w:ascii="仿宋" w:hAnsi="仿宋" w:eastAsia="仿宋" w:cs="仿宋"/>
          <w:sz w:val="24"/>
          <w:highlight w:val="none"/>
          <w:lang w:val="en-US" w:eastAsia="zh-CN"/>
        </w:rPr>
        <w:t>项目名称），我公司承诺所提交的材料、响应文件表述、响应文件内容</w:t>
      </w:r>
      <w:r>
        <w:rPr>
          <w:rFonts w:hint="eastAsia" w:ascii="仿宋" w:hAnsi="仿宋" w:eastAsia="仿宋" w:cs="仿宋"/>
          <w:sz w:val="24"/>
          <w:lang w:val="en-US" w:eastAsia="zh-CN"/>
        </w:rPr>
        <w:t>是真实有效的。如有不实，则违反“诚实信用”原则，我公司承担由此引发的所有责任。</w:t>
      </w:r>
    </w:p>
    <w:p>
      <w:pPr>
        <w:spacing w:line="360" w:lineRule="auto"/>
        <w:ind w:firstLine="0" w:firstLineChars="0"/>
        <w:jc w:val="left"/>
        <w:rPr>
          <w:rFonts w:hint="eastAsia" w:ascii="仿宋" w:hAnsi="仿宋" w:eastAsia="仿宋" w:cs="仿宋"/>
          <w:sz w:val="28"/>
        </w:rPr>
      </w:pP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sz w:val="21"/>
        </w:rPr>
      </w:pPr>
    </w:p>
    <w:tbl>
      <w:tblPr>
        <w:tblStyle w:val="13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287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供 应 商：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widowControl w:val="0"/>
              <w:spacing w:line="360" w:lineRule="auto"/>
              <w:ind w:firstLine="465" w:firstLineChars="0"/>
              <w:jc w:val="both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12"/>
        <w:tblpPr w:leftFromText="180" w:rightFromText="180" w:vertAnchor="text" w:horzAnchor="margin" w:tblpXSpec="center" w:tblpY="111"/>
        <w:tblW w:w="4999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9"/>
        <w:gridCol w:w="47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2444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2555" w:type="pct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</w:t>
      </w:r>
      <w:r>
        <w:rPr>
          <w:rFonts w:hint="eastAsia" w:ascii="仿宋" w:hAnsi="仿宋" w:eastAsia="仿宋" w:cs="仿宋"/>
          <w:kern w:val="0"/>
          <w:sz w:val="24"/>
          <w:highlight w:val="none"/>
          <w:u w:val="none"/>
        </w:rPr>
        <w:t>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法定代表人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（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项目编号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）（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</w:t>
      </w:r>
      <w:r>
        <w:rPr>
          <w:rFonts w:hint="eastAsia" w:ascii="仿宋" w:hAnsi="仿宋" w:eastAsia="仿宋" w:cs="仿宋"/>
          <w:sz w:val="24"/>
          <w:szCs w:val="24"/>
          <w:highlight w:val="white"/>
          <w:lang w:eastAsia="zh-CN"/>
        </w:rPr>
        <w:t>）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21" name="圆角矩形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3360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AkJsokNgIAAHk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k9TlnaAAAACgEAAA8AAAAAAAAAAQAgAAAAIgAAAGRycy9kb3du&#10;cmV2LnhtbFBLAQIUABQAAAAIAIdO4kAkJsok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17" name="圆角矩形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4384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PmzMzHYAAAACQEAAA8AAAAAAAAAAQAgAAAAIgAAAGRycy9kb3du&#10;cmV2LnhtbFBLAQIUABQAAAAIAIdO4kA9mCj4OAIAAHkEAAAOAAAAAAAAAAEAIAAAACc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5408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OTcygXaAAAACgEAAA8AAAAAAAAAAQAgAAAAIgAAAGRycy9kb3du&#10;cmV2LnhtbFBLAQIUABQAAAAIAIdO4kC4TyuyNgIAAHg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6432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</w:rPr>
        <w:sectPr>
          <w:footerReference r:id="rId6" w:type="first"/>
          <w:footerReference r:id="rId5" w:type="default"/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36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附件3：</w:t>
      </w:r>
    </w:p>
    <w:p>
      <w:pPr>
        <w:spacing w:line="36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8"/>
          <w:szCs w:val="22"/>
        </w:rPr>
        <w:t>：国家企业信用信息公示系统查询方式</w:t>
      </w: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http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  <w:lang w:eastAsia="zh-CN"/>
        </w:rPr>
        <w:t>：</w:t>
      </w:r>
      <w:r>
        <w:rPr>
          <w:rFonts w:hint="eastAsia" w:ascii="仿宋" w:hAnsi="仿宋" w:eastAsia="仿宋" w:cs="仿宋"/>
          <w:bCs/>
          <w:color w:val="0000FF"/>
          <w:sz w:val="24"/>
          <w:szCs w:val="24"/>
          <w:u w:val="single"/>
        </w:rPr>
        <w:t>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spacing w:line="360" w:lineRule="auto"/>
        <w:ind w:firstLine="425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2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7"/>
                    <pic:cNvPicPr>
                      <a:picLocks noChangeAspect="1"/>
                    </pic:cNvPicPr>
                  </pic:nvPicPr>
                  <pic:blipFill>
                    <a:blip r:embed="rId9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  <w:sz w:val="21"/>
          <w:szCs w:val="21"/>
        </w:rPr>
        <w:br w:type="page"/>
      </w: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</w:p>
    <w:p>
      <w:pPr>
        <w:spacing w:line="360" w:lineRule="auto"/>
        <w:ind w:right="-980" w:rightChars="-490" w:firstLine="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  <w:bookmarkStart w:id="0" w:name="_Toc5503"/>
      <w:bookmarkStart w:id="1" w:name="_Toc17064"/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numPr>
          <w:ilvl w:val="0"/>
          <w:numId w:val="1"/>
        </w:numPr>
        <w:bidi w:val="0"/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8890" b="8890"/>
            <wp:wrapNone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spacing w:line="360" w:lineRule="auto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bookmarkEnd w:id="0"/>
    <w:bookmarkEnd w:id="1"/>
    <w:p>
      <w:pPr>
        <w:spacing w:line="360" w:lineRule="auto"/>
        <w:ind w:right="-980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2：信用中国查询方式</w:t>
      </w: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1"/>
          <w:szCs w:val="21"/>
        </w:rPr>
        <w:t>国家信息中心主办“信用中国”网站地址：http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：</w:t>
      </w:r>
      <w:r>
        <w:rPr>
          <w:rFonts w:hint="eastAsia" w:ascii="仿宋" w:hAnsi="仿宋" w:eastAsia="仿宋" w:cs="仿宋"/>
          <w:kern w:val="0"/>
          <w:sz w:val="21"/>
          <w:szCs w:val="21"/>
        </w:rPr>
        <w:t>//www.creditchina.gov.cn打开网页后，点击“信用服务”。</w:t>
      </w:r>
    </w:p>
    <w:p>
      <w:pPr>
        <w:spacing w:line="360" w:lineRule="auto"/>
        <w:ind w:left="0" w:leftChars="0" w:firstLine="0" w:firstLineChars="0"/>
        <w:jc w:val="left"/>
        <w:rPr>
          <w:rFonts w:hint="eastAsia" w:ascii="仿宋" w:hAnsi="仿宋" w:eastAsia="仿宋" w:cs="仿宋"/>
          <w:bCs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5080"/>
            <wp:wrapNone/>
            <wp:docPr id="3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r>
        <w:rPr>
          <w:rFonts w:hint="eastAsia" w:ascii="仿宋" w:hAnsi="仿宋" w:eastAsia="仿宋" w:cs="仿宋"/>
          <w:sz w:val="21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1"/>
          <w:szCs w:val="21"/>
        </w:rPr>
        <w:t>在以下页面中点击“失信被执行人”</w:t>
      </w:r>
    </w:p>
    <w:p>
      <w:pPr>
        <w:spacing w:line="360" w:lineRule="auto"/>
        <w:ind w:firstLine="482" w:firstLineChars="0"/>
        <w:rPr>
          <w:rFonts w:hint="eastAsia" w:ascii="仿宋" w:hAnsi="仿宋" w:eastAsia="仿宋" w:cs="仿宋"/>
          <w:sz w:val="21"/>
        </w:rPr>
      </w:pP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32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 descr="失信"/>
                    <pic:cNvPicPr>
                      <a:picLocks noChangeAspect="1"/>
                    </pic:cNvPicPr>
                  </pic:nvPicPr>
                  <pic:blipFill>
                    <a:blip r:embed="rId13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00" w:firstLineChars="200"/>
        <w:rPr>
          <w:rFonts w:hint="eastAsia" w:ascii="仿宋" w:hAnsi="仿宋" w:eastAsia="仿宋" w:cs="仿宋"/>
          <w:kern w:val="0"/>
          <w:szCs w:val="21"/>
        </w:rPr>
        <w:sectPr>
          <w:pgSz w:w="11905" w:h="16838"/>
          <w:pgMar w:top="1701" w:right="1417" w:bottom="1701" w:left="1417" w:header="850" w:footer="992" w:gutter="0"/>
          <w:pgNumType w:fmt="decimal"/>
          <w:cols w:space="0" w:num="1"/>
          <w:rtlGutter w:val="0"/>
          <w:docGrid w:type="lines" w:linePitch="328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 w:val="21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。</w:t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0" b="9525"/>
            <wp:wrapNone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widowControl w:val="0"/>
        <w:spacing w:line="360" w:lineRule="auto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360" w:lineRule="auto"/>
        <w:ind w:firstLine="0" w:firstLineChars="0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5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bookmarkStart w:id="2" w:name="_Toc9085"/>
      <w:bookmarkStart w:id="3" w:name="_Toc15378"/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3：中国裁判文书网查询方式</w:t>
      </w:r>
      <w:bookmarkEnd w:id="2"/>
      <w:bookmarkEnd w:id="3"/>
    </w:p>
    <w:p>
      <w:pPr>
        <w:widowControl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1、供应商查询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（5）截取成功截图如下（须截取到左上角的时间）。</w:t>
      </w:r>
    </w:p>
    <w:p>
      <w:pPr>
        <w:widowControl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drawing>
          <wp:inline distT="0" distB="0" distL="114300" distR="114300">
            <wp:extent cx="5488305" cy="3270885"/>
            <wp:effectExtent l="0" t="0" r="0" b="5715"/>
            <wp:docPr id="3" name="图片 3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截图"/>
                    <pic:cNvPicPr>
                      <a:picLocks noChangeAspect="1"/>
                    </pic:cNvPicPr>
                  </pic:nvPicPr>
                  <pic:blipFill>
                    <a:blip r:embed="rId16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5488305" cy="327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br w:type="page"/>
      </w: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2、企业法定代表人查询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：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36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pStyle w:val="2"/>
        <w:spacing w:line="360" w:lineRule="auto"/>
        <w:ind w:firstLine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5280660" cy="3390900"/>
            <wp:effectExtent l="0" t="0" r="7620" b="7620"/>
            <wp:docPr id="29" name="图片 4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 descr="图片1_副本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8066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</w:p>
    <w:p>
      <w:pPr>
        <w:pStyle w:val="2"/>
        <w:spacing w:line="360" w:lineRule="auto"/>
        <w:ind w:left="0" w:leftChars="0" w:firstLine="0" w:firstLineChars="0"/>
        <w:rPr>
          <w:rFonts w:hint="eastAsia" w:ascii="仿宋" w:hAnsi="仿宋" w:eastAsia="仿宋" w:cs="仿宋"/>
          <w:lang w:eastAsia="zh-CN"/>
        </w:rPr>
      </w:pPr>
      <w:r>
        <w:rPr>
          <w:rFonts w:hint="eastAsia" w:ascii="仿宋" w:hAnsi="仿宋" w:eastAsia="仿宋" w:cs="仿宋"/>
          <w:color w:val="auto"/>
          <w:sz w:val="32"/>
          <w:szCs w:val="18"/>
          <w:highlight w:val="none"/>
          <w:lang w:val="en-US" w:eastAsia="zh-CN"/>
        </w:rPr>
        <w:t>注：上述各类信誉查询截图样式仅供参考。</w:t>
      </w:r>
    </w:p>
    <w:sectPr>
      <w:footerReference r:id="rId7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tabs>
        <w:tab w:val="left" w:pos="3704"/>
        <w:tab w:val="clear" w:pos="4153"/>
      </w:tabs>
      <w:ind w:left="0" w:leftChars="0" w:firstLine="0" w:firstLineChars="0"/>
    </w:pPr>
    <w:r>
      <w:rPr>
        <w:rFonts w:hint="eastAsia"/>
        <w:lang w:eastAsia="zh-CN"/>
      </w:rPr>
      <w:tab/>
    </w:r>
    <w:bookmarkStart w:id="4" w:name="_GoBack"/>
    <w:bookmarkEnd w:id="4"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spacing w:line="360" w:lineRule="auto"/>
      <w:ind w:firstLine="360" w:firstLineChars="200"/>
      <w:jc w:val="left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8" name="文本框 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snapToGrid w:val="0"/>
                            <w:spacing w:line="360" w:lineRule="auto"/>
                            <w:ind w:firstLine="360" w:firstLineChars="200"/>
                            <w:jc w:val="left"/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- 1 -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W1u+M4AgAAcQ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pbW74zgCAABx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spacing w:line="360" w:lineRule="auto"/>
                      <w:ind w:firstLine="360" w:firstLineChars="200"/>
                      <w:jc w:val="left"/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- 1 -</w: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200" w:lineRule="exact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ZkYTdiNGI1Y2FiMjQ1N2E4MTgyOGFiN2EyYTcxYzEifQ=="/>
  </w:docVars>
  <w:rsids>
    <w:rsidRoot w:val="4E5D20A5"/>
    <w:rsid w:val="08843067"/>
    <w:rsid w:val="0A471F8E"/>
    <w:rsid w:val="177D585E"/>
    <w:rsid w:val="1FE92902"/>
    <w:rsid w:val="2CD539F7"/>
    <w:rsid w:val="32AB40B5"/>
    <w:rsid w:val="39BE52F0"/>
    <w:rsid w:val="44D75546"/>
    <w:rsid w:val="4E5D20A5"/>
    <w:rsid w:val="6D0509F4"/>
    <w:rsid w:val="705F57A4"/>
    <w:rsid w:val="7BFA0E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39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rPr>
      <w:rFonts w:ascii="Calibri" w:hAnsi="Calibri" w:cs="Arial" w:eastAsiaTheme="minorEastAsia"/>
      <w:lang w:val="en-US" w:eastAsia="zh-CN" w:bidi="ar-SA"/>
    </w:rPr>
  </w:style>
  <w:style w:type="paragraph" w:styleId="6">
    <w:name w:val="heading 1"/>
    <w:basedOn w:val="1"/>
    <w:next w:val="1"/>
    <w:qFormat/>
    <w:uiPriority w:val="0"/>
    <w:pPr>
      <w:keepNext/>
      <w:keepLines/>
      <w:widowControl w:val="0"/>
      <w:tabs>
        <w:tab w:val="left" w:pos="1440"/>
      </w:tabs>
      <w:spacing w:line="360" w:lineRule="auto"/>
      <w:jc w:val="both"/>
      <w:outlineLvl w:val="0"/>
    </w:pPr>
    <w:rPr>
      <w:rFonts w:ascii="Times New Roman" w:hAnsi="Times New Roman" w:eastAsia="宋体" w:cs="Times New Roman"/>
      <w:b/>
      <w:kern w:val="44"/>
      <w:sz w:val="44"/>
    </w:rPr>
  </w:style>
  <w:style w:type="character" w:default="1" w:styleId="14">
    <w:name w:val="Default Paragraph Font"/>
    <w:semiHidden/>
    <w:qFormat/>
    <w:uiPriority w:val="0"/>
  </w:style>
  <w:style w:type="table" w:default="1" w:styleId="1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99"/>
    <w:pPr>
      <w:ind w:firstLine="360" w:firstLineChars="200"/>
    </w:pPr>
    <w:rPr>
      <w:sz w:val="18"/>
    </w:rPr>
  </w:style>
  <w:style w:type="paragraph" w:customStyle="1" w:styleId="4">
    <w:name w:val="p16"/>
    <w:basedOn w:val="1"/>
    <w:next w:val="5"/>
    <w:qFormat/>
    <w:uiPriority w:val="0"/>
    <w:pPr>
      <w:spacing w:line="400" w:lineRule="atLeast"/>
      <w:jc w:val="both"/>
    </w:pPr>
    <w:rPr>
      <w:rFonts w:ascii="Times New Roman" w:hAnsi="Times New Roman" w:eastAsia="宋体" w:cs="Times New Roman"/>
      <w:sz w:val="24"/>
      <w:szCs w:val="22"/>
    </w:rPr>
  </w:style>
  <w:style w:type="paragraph" w:styleId="5">
    <w:name w:val="toc 2"/>
    <w:basedOn w:val="1"/>
    <w:next w:val="1"/>
    <w:qFormat/>
    <w:uiPriority w:val="39"/>
    <w:pPr>
      <w:widowControl w:val="0"/>
      <w:spacing w:before="120"/>
      <w:ind w:left="210"/>
    </w:pPr>
    <w:rPr>
      <w:rFonts w:eastAsia="宋体" w:cs="Times New Roman"/>
      <w:bCs/>
      <w:kern w:val="2"/>
      <w:sz w:val="22"/>
      <w:szCs w:val="22"/>
    </w:rPr>
  </w:style>
  <w:style w:type="paragraph" w:styleId="7">
    <w:name w:val="Body Text"/>
    <w:basedOn w:val="1"/>
    <w:next w:val="8"/>
    <w:qFormat/>
    <w:uiPriority w:val="0"/>
    <w:rPr>
      <w:rFonts w:ascii="宋体" w:hAnsi="宋体" w:eastAsia="宋体" w:cs="Times New Roman"/>
      <w:sz w:val="28"/>
    </w:rPr>
  </w:style>
  <w:style w:type="paragraph" w:customStyle="1" w:styleId="8">
    <w:name w:val="Default"/>
    <w:qFormat/>
    <w:uiPriority w:val="0"/>
    <w:pPr>
      <w:widowControl w:val="0"/>
      <w:autoSpaceDE w:val="0"/>
      <w:autoSpaceDN w:val="0"/>
      <w:adjustRightInd w:val="0"/>
    </w:pPr>
    <w:rPr>
      <w:rFonts w:ascii="Arial" w:hAnsi="Arial" w:eastAsia="宋体" w:cs="Arial"/>
      <w:color w:val="000000"/>
      <w:sz w:val="24"/>
      <w:szCs w:val="24"/>
      <w:lang w:val="en-US" w:eastAsia="zh-CN" w:bidi="ar-SA"/>
    </w:rPr>
  </w:style>
  <w:style w:type="paragraph" w:styleId="9">
    <w:name w:val="Date"/>
    <w:basedOn w:val="1"/>
    <w:next w:val="1"/>
    <w:qFormat/>
    <w:uiPriority w:val="0"/>
    <w:rPr>
      <w:rFonts w:ascii="Times New Roman" w:hAnsi="Times New Roman" w:eastAsia="宋体" w:cs="Times New Roman"/>
      <w:kern w:val="0"/>
      <w:sz w:val="24"/>
      <w:szCs w:val="20"/>
    </w:rPr>
  </w:style>
  <w:style w:type="paragraph" w:styleId="10">
    <w:name w:val="footer"/>
    <w:basedOn w:val="1"/>
    <w:next w:val="7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1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13">
    <w:name w:val="Table Grid"/>
    <w:basedOn w:val="12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5">
    <w:name w:val="Hyperlink"/>
    <w:basedOn w:val="14"/>
    <w:unhideWhenUsed/>
    <w:qFormat/>
    <w:uiPriority w:val="99"/>
    <w:rPr>
      <w:color w:val="0000FF"/>
      <w:u w:val="single"/>
    </w:rPr>
  </w:style>
  <w:style w:type="paragraph" w:customStyle="1" w:styleId="16">
    <w:name w:val="样式1"/>
    <w:basedOn w:val="1"/>
    <w:qFormat/>
    <w:uiPriority w:val="0"/>
    <w:rPr>
      <w:rFonts w:ascii="Times New Roman" w:hAnsi="Times New Roman"/>
      <w:sz w:val="28"/>
      <w:szCs w:val="24"/>
    </w:rPr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</w:pPr>
    <w:rPr>
      <w:rFonts w:ascii="宋体" w:hAnsi="宋体" w:eastAsia="宋体" w:cs="宋体"/>
      <w:szCs w:val="21"/>
      <w:lang w:eastAsia="en-US"/>
    </w:rPr>
  </w:style>
  <w:style w:type="paragraph" w:styleId="18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2023-11-14T02:21:00Z</dcterms:created>
  <dc:creator>鄂尔多斯草原高宇 ✨15047795745</dc:creator>
  <cp:lastModifiedBy>鄂尔多斯草原高宇 ✨15047795745</cp:lastModifiedBy>
  <dcterms:modified xsi:type="dcterms:W3CDTF">2023-11-23T02:19:15Z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632AA0B597D7481E8EAC0DFEB906C67F_11</vt:lpwstr>
  </property>
</Properties>
</file>